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bookmarkStart w:id="0" w:name="_GoBack"/>
      <w:bookmarkEnd w:id="0"/>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8"/>
          <w:headerReference w:type="default" r:id="rId9"/>
          <w:footerReference w:type="even" r:id="rId10"/>
          <w:footerReference w:type="default" r:id="rId11"/>
          <w:headerReference w:type="first" r:id="rId12"/>
          <w:footerReference w:type="first" r:id="rId13"/>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4"/>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704402" w:rsidP="009C571A">
      <w:pPr>
        <w:pStyle w:val="Uyarmetni"/>
      </w:pPr>
      <w:r>
        <w:rPr>
          <w:noProof/>
          <w:lang w:eastAsia="tr-TR"/>
        </w:rPr>
        <w:pict>
          <v:shapetype id="_x0000_t202" coordsize="21600,21600" o:spt="202" path="m,l,21600r21600,l21600,xe">
            <v:stroke joinstyle="miter"/>
            <v:path gradientshapeok="t" o:connecttype="rect"/>
          </v:shapetype>
          <v:shape id="_x0000_s1141" type="#_x0000_t202" style="position:absolute;left:0;text-align:left;margin-left:12.15pt;margin-top:83.85pt;width:387pt;height:132.6pt;z-index:251666432">
            <v:textbox style="mso-next-textbox:#_x0000_s1141">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5"/>
          <w:headerReference w:type="default" r:id="rId16"/>
          <w:footerReference w:type="even" r:id="rId17"/>
          <w:footerReference w:type="default" r:id="rId18"/>
          <w:headerReference w:type="first" r:id="rId19"/>
          <w:footerReference w:type="first" r:id="rId20"/>
          <w:pgSz w:w="11057" w:h="15593" w:code="9"/>
          <w:pgMar w:top="1701" w:right="1418" w:bottom="1418" w:left="1418" w:header="709" w:footer="1134" w:gutter="0"/>
          <w:cols w:space="708"/>
          <w:titlePg/>
          <w:docGrid w:linePitch="360"/>
        </w:sectPr>
      </w:pPr>
    </w:p>
    <w:p w:rsidR="00BB1BD0" w:rsidRDefault="00704402" w:rsidP="002831E0">
      <w:pPr>
        <w:pStyle w:val="Varsaylan"/>
      </w:pPr>
      <w:r>
        <w:rPr>
          <w:noProof/>
          <w:lang w:eastAsia="tr-TR"/>
        </w:rPr>
        <w:lastRenderedPageBreak/>
        <w:pict>
          <v:group id="_x0000_s1049" style="position:absolute;left:0;text-align:left;margin-left:17.85pt;margin-top:-48.8pt;width:368.6pt;height:49.6pt;z-index:251633664" coordorigin="1743,888" coordsize="7372,992">
            <v:roundrect id="_x0000_s1050" style="position:absolute;left:1743;top:888;width:7372;height:992" arcsize=".5" strokecolor="silver" strokeweight="3pt"/>
            <v:shape id="_x0000_s1051" type="#_x0000_t202" style="position:absolute;left:1916;top:1068;width:6783;height:761" stroked="f" strokecolor="#ea6095">
              <v:fill opacity="0"/>
              <v:textbox style="mso-next-textbox:#_x0000_s1051">
                <w:txbxContent>
                  <w:p w:rsidR="00DA5854" w:rsidRPr="00CC38D7" w:rsidRDefault="00DA5854"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704402">
      <w:pPr>
        <w:pStyle w:val="T1"/>
        <w:tabs>
          <w:tab w:val="right" w:leader="dot" w:pos="8211"/>
        </w:tabs>
        <w:rPr>
          <w:rFonts w:asciiTheme="minorHAnsi" w:eastAsiaTheme="minorEastAsia" w:hAnsiTheme="minorHAnsi" w:cstheme="minorBidi"/>
          <w:noProof/>
          <w:szCs w:val="22"/>
        </w:rPr>
      </w:pPr>
      <w:r w:rsidRPr="00704402">
        <w:fldChar w:fldCharType="begin"/>
      </w:r>
      <w:r w:rsidR="00BB1BD0">
        <w:instrText xml:space="preserve"> TOC \h \z \t "SER BAŞ 1;1;SER BAŞ 2;2;SER BAŞ 3;3" </w:instrText>
      </w:r>
      <w:r w:rsidRPr="00704402">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704402">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704402">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704402">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24460F">
          <w:rPr>
            <w:noProof/>
            <w:webHidden/>
          </w:rPr>
          <w:t>1</w:t>
        </w:r>
        <w:r>
          <w:rPr>
            <w:noProof/>
            <w:webHidden/>
          </w:rPr>
          <w:fldChar w:fldCharType="end"/>
        </w:r>
      </w:hyperlink>
    </w:p>
    <w:p w:rsidR="00C009FC" w:rsidRDefault="00704402"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704402" w:rsidP="002831E0">
      <w:pPr>
        <w:pStyle w:val="Varsaylan"/>
      </w:pPr>
      <w:r w:rsidRPr="00704402">
        <w:rPr>
          <w:noProof/>
          <w:color w:val="FFFFFF" w:themeColor="background1"/>
        </w:rPr>
        <w:lastRenderedPageBreak/>
        <w:pict>
          <v:group id="_x0000_s1164" style="position:absolute;left:0;text-align:left;margin-left:23.7pt;margin-top:-50.5pt;width:368.5pt;height:49.6pt;z-index:251680768" coordorigin="1769,903" coordsize="7370,992">
            <v:roundrect id="_x0000_s1165" style="position:absolute;left:1769;top:903;width:7370;height:992" arcsize=".5" strokecolor="silver" strokeweight="3pt"/>
            <v:shape id="_x0000_s1166" type="#_x0000_t202" style="position:absolute;left:2444;top:1098;width:6062;height:761" stroked="f" strokecolor="#365428">
              <v:fill opacity="0"/>
              <v:textbox style="mso-next-textbox:#_x0000_s1166">
                <w:txbxContent>
                  <w:p w:rsidR="00DA5854" w:rsidRPr="00CC38D7" w:rsidRDefault="00DA5854"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704402" w:rsidP="00F83067">
            <w:pPr>
              <w:pStyle w:val="Uyarmetni"/>
            </w:pPr>
            <w:hyperlink r:id="rId21"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704402"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704402"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704402" w:rsidP="00F83067">
            <w:pPr>
              <w:pStyle w:val="Uyarmetni"/>
            </w:pPr>
            <w:hyperlink r:id="rId24"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704402" w:rsidP="00BB1BD0">
      <w:pPr>
        <w:pStyle w:val="Varsaylan"/>
      </w:pPr>
      <w:r w:rsidRPr="00704402">
        <w:rPr>
          <w:b/>
          <w:noProof/>
          <w:color w:val="FF0000"/>
        </w:rPr>
        <w:lastRenderedPageBreak/>
        <w:pict>
          <v:group id="_x0000_s1143" style="position:absolute;left:0;text-align:left;margin-left:22.95pt;margin-top:-51.45pt;width:368.5pt;height:49.6pt;z-index:251668480" coordorigin="1769,903" coordsize="7370,992">
            <v:roundrect id="_x0000_s1144" style="position:absolute;left:1769;top:903;width:7370;height:992" arcsize=".5" strokecolor="silver" strokeweight="3pt"/>
            <v:shape id="_x0000_s1145" type="#_x0000_t202" style="position:absolute;left:2444;top:1098;width:6062;height:761" stroked="f" strokecolor="#365428">
              <v:fill opacity="0"/>
              <v:textbox style="mso-next-textbox:#_x0000_s1145">
                <w:txbxContent>
                  <w:p w:rsidR="00DA5854" w:rsidRPr="00CC38D7" w:rsidRDefault="00DA5854"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704402" w:rsidP="00D374EB">
      <w:pPr>
        <w:pStyle w:val="dmetin"/>
        <w:rPr>
          <w:b/>
        </w:rPr>
      </w:pPr>
      <w:r w:rsidRPr="00704402">
        <w:rPr>
          <w:noProof/>
        </w:rPr>
        <w:pict>
          <v:rect id="_x0000_s1195" style="position:absolute;left:0;text-align:left;margin-left:.45pt;margin-top:3.55pt;width:410.9pt;height:130.05pt;z-index:251703296"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704402">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6" type="#_x0000_t62" style="position:absolute;margin-left:48pt;margin-top:35.55pt;width:324pt;height:101.6pt;z-index:251669504;mso-position-vertical-relative:line" adj="5890,-5272" fillcolor="#ff9">
            <v:textbox style="mso-next-textbox:#_x0000_s1146">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704402" w:rsidP="00E72521">
      <w:pPr>
        <w:pStyle w:val="Varsaylan"/>
      </w:pPr>
      <w:r>
        <w:rPr>
          <w:noProof/>
          <w:lang w:eastAsia="tr-TR"/>
        </w:rPr>
        <w:lastRenderedPageBreak/>
        <w:pict>
          <v:group id="_x0000_s1058" style="position:absolute;left:0;text-align:left;margin-left:7.95pt;margin-top:-50.55pt;width:396.85pt;height:49.6pt;z-index:251635712" coordorigin="1760,5458" coordsize="7937,992">
            <v:roundrect id="_x0000_s1059" style="position:absolute;left:1760;top:5458;width:7937;height:992" arcsize=".5" strokecolor="silver" strokeweight="3pt"/>
            <v:shape id="_x0000_s1060" type="#_x0000_t202" style="position:absolute;left:2683;top:5632;width:6062;height:761" filled="f" fillcolor="yellow" stroked="f" strokecolor="#ea6095">
              <v:fill opacity="0"/>
              <v:textbox style="mso-next-textbox:#_x0000_s1060">
                <w:txbxContent>
                  <w:p w:rsidR="00DA5854" w:rsidRPr="00CC38D7" w:rsidRDefault="00DA5854" w:rsidP="00667450">
                    <w:pPr>
                      <w:jc w:val="center"/>
                      <w:rPr>
                        <w:b/>
                        <w:sz w:val="40"/>
                        <w:szCs w:val="40"/>
                      </w:rPr>
                    </w:pPr>
                    <w:r w:rsidRPr="00CC38D7">
                      <w:rPr>
                        <w:b/>
                        <w:sz w:val="40"/>
                        <w:szCs w:val="40"/>
                      </w:rPr>
                      <w:t>ÖĞRENME FAALİYETİ–1</w:t>
                    </w:r>
                  </w:p>
                </w:txbxContent>
              </v:textbox>
            </v:shape>
          </v:group>
        </w:pict>
      </w:r>
      <w:r>
        <w:rPr>
          <w:noProof/>
          <w:lang w:eastAsia="tr-TR"/>
        </w:rPr>
        <w:pict>
          <v:group id="_x0000_s1225" style="position:absolute;left:0;text-align:left;margin-left:1.5pt;margin-top:6pt;width:194.55pt;height:27pt;z-index:251721728" coordorigin="4553,9778" coordsize="2336,540">
            <v:roundrect id="_x0000_s1226" style="position:absolute;left:4553;top:9778;width:2336;height:539" arcsize=".5" strokecolor="silver" strokeweight="3pt"/>
            <v:shape id="_x0000_s1227" type="#_x0000_t202" style="position:absolute;left:4670;top:9778;width:2046;height:540" stroked="f" strokecolor="#ea6095">
              <v:fill opacity="0"/>
              <v:textbox style="mso-next-textbox:#_x0000_s1227">
                <w:txbxContent>
                  <w:p w:rsidR="00DA5854" w:rsidRPr="00CC38D7" w:rsidRDefault="00DA5854"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5"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704402" w:rsidP="00667450">
      <w:pPr>
        <w:pStyle w:val="Varsaylan"/>
      </w:pPr>
      <w:r>
        <w:rPr>
          <w:noProof/>
          <w:lang w:eastAsia="tr-TR"/>
        </w:rPr>
        <w:pict>
          <v:group id="_x0000_s1061" style="position:absolute;left:0;text-align:left;margin-left:1.5pt;margin-top:6.3pt;width:116.8pt;height:27pt;z-index:251636736" coordorigin="4553,9778" coordsize="2336,540">
            <v:roundrect id="_x0000_s1062" style="position:absolute;left:4553;top:9778;width:2336;height:539" arcsize=".5" strokecolor="silver" strokeweight="3pt"/>
            <v:shape id="_x0000_s1063" type="#_x0000_t202" style="position:absolute;left:4670;top:9778;width:2046;height:540" stroked="f" strokecolor="#ea6095">
              <v:fill opacity="0"/>
              <v:textbox style="mso-next-textbox:#_x0000_s1063">
                <w:txbxContent>
                  <w:p w:rsidR="00DA5854" w:rsidRPr="00CC38D7" w:rsidRDefault="00DA5854"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704402" w:rsidP="004B5D4E">
      <w:pPr>
        <w:pStyle w:val="maddeimi"/>
        <w:numPr>
          <w:ilvl w:val="0"/>
          <w:numId w:val="0"/>
        </w:numPr>
        <w:ind w:left="720"/>
        <w:jc w:val="left"/>
        <w:rPr>
          <w:color w:val="FF0000"/>
        </w:rPr>
      </w:pPr>
      <w:r w:rsidRPr="00704402">
        <w:rPr>
          <w:noProof/>
          <w:color w:val="C00000"/>
        </w:rPr>
        <w:pict>
          <v:rect id="_x0000_s1196" style="position:absolute;left:0;text-align:left;margin-left:-4.3pt;margin-top:9.4pt;width:414.15pt;height:76.7pt;z-index:251704320" filled="f" strokecolor="red" strokeweight="2.25pt"/>
        </w:pic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704402" w:rsidP="004D6FA5">
      <w:pPr>
        <w:pStyle w:val="2GrupKonuanlatmmaddeimi"/>
        <w:numPr>
          <w:ilvl w:val="0"/>
          <w:numId w:val="0"/>
        </w:numPr>
      </w:pPr>
      <w:r>
        <w:pict>
          <v:shape id="_x0000_s1151" type="#_x0000_t62" style="position:absolute;left:0;text-align:left;margin-left:20.65pt;margin-top:9.7pt;width:382.95pt;height:37.45pt;z-index:251674624;mso-position-vertical-relative:line" adj="4140,26070" fillcolor="#ff9">
            <v:textbox style="mso-next-textbox:#_x0000_s1151">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704402" w:rsidP="00594E03">
      <w:pPr>
        <w:pStyle w:val="2Grup2Baslk"/>
        <w:rPr>
          <w:color w:val="auto"/>
        </w:rPr>
      </w:pPr>
      <w:r w:rsidRPr="00704402">
        <w:rPr>
          <w:noProof/>
          <w:szCs w:val="28"/>
          <w:lang w:eastAsia="tr-TR"/>
        </w:rPr>
        <w:pict>
          <v:shape id="_x0000_s1148" type="#_x0000_t62" style="position:absolute;margin-left:123.15pt;margin-top:10.25pt;width:287.2pt;height:43.9pt;z-index:251671552;mso-position-vertical-relative:line" adj="3685,-4404" fillcolor="#ff9">
            <v:textbox style="mso-next-textbox:#_x0000_s1148">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704402" w:rsidP="00D53D4F">
      <w:pPr>
        <w:pStyle w:val="2Grup3Baslk"/>
        <w:rPr>
          <w:color w:val="auto"/>
        </w:rPr>
      </w:pPr>
      <w:r>
        <w:rPr>
          <w:color w:val="auto"/>
        </w:rPr>
        <w:pict>
          <v:shape id="_x0000_s1149" type="#_x0000_t62" style="position:absolute;margin-left:142.95pt;margin-top:10.95pt;width:267.4pt;height:43.9pt;z-index:251672576;mso-position-vertical-relative:line" adj="1745,-4404" fillcolor="#ff9">
            <v:textbox style="mso-next-textbox:#_x0000_s1149">
              <w:txbxContent>
                <w:p w:rsidR="00DA5854" w:rsidRPr="00BE45A4" w:rsidRDefault="00DA5854"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704402" w:rsidP="00D53D4F">
      <w:pPr>
        <w:pStyle w:val="2Grup3Baslk"/>
        <w:rPr>
          <w:color w:val="auto"/>
        </w:rPr>
      </w:pPr>
      <w:r>
        <w:rPr>
          <w:color w:val="auto"/>
        </w:rPr>
        <w:pict>
          <v:shape id="_x0000_s1150" type="#_x0000_t62" style="position:absolute;margin-left:142.95pt;margin-top:0;width:267.4pt;height:43.9pt;z-index:251673600;mso-position-vertical-relative:line" adj="2294,-4822" fillcolor="#ff9">
            <v:textbox style="mso-next-textbox:#_x0000_s1150">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704402" w:rsidP="00AA4397">
      <w:pPr>
        <w:ind w:left="360"/>
        <w:rPr>
          <w:b/>
        </w:rPr>
      </w:pPr>
      <w:r w:rsidRPr="00704402">
        <w:rPr>
          <w:noProof/>
        </w:rPr>
        <w:lastRenderedPageBreak/>
        <w:pict>
          <v:rect id="_x0000_s1198" style="position:absolute;left:0;text-align:left;margin-left:12pt;margin-top:-3.9pt;width:401.6pt;height:85pt;z-index:251706368"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704402" w:rsidP="00594E03">
      <w:r>
        <w:rPr>
          <w:noProof/>
        </w:rPr>
        <w:pict>
          <v:shape id="_x0000_s1199" type="#_x0000_t62" style="position:absolute;margin-left:9pt;margin-top:11.75pt;width:387pt;height:149.65pt;z-index:251707392;mso-position-vertical-relative:line" adj="15374,-1855" fillcolor="#ff9">
            <v:textbox style="mso-next-textbox:#_x0000_s1199">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704402">
      <w:pPr>
        <w:rPr>
          <w:color w:val="C00000"/>
          <w:sz w:val="20"/>
          <w:szCs w:val="22"/>
          <w:lang w:eastAsia="en-US"/>
        </w:rPr>
      </w:pPr>
      <w:r w:rsidRPr="00704402">
        <w:rPr>
          <w:rFonts w:eastAsia="Arial Unicode MS"/>
          <w:noProof/>
        </w:rPr>
        <w:pict>
          <v:rect id="_x0000_s1201" style="position:absolute;margin-left:-3.65pt;margin-top:5.85pt;width:417.25pt;height:201.1pt;z-index:251708416"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704402" w:rsidP="004B5D4E">
      <w:pPr>
        <w:ind w:left="360"/>
      </w:pPr>
      <w:r>
        <w:rPr>
          <w:noProof/>
        </w:rPr>
        <w:pict>
          <v:rect id="_x0000_s1202" style="position:absolute;left:0;text-align:left;margin-left:9.75pt;margin-top:10.15pt;width:401.6pt;height:84.6pt;z-index:25170944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704402" w:rsidP="007A6408">
      <w:pPr>
        <w:pStyle w:val="glayresim"/>
        <w:ind w:firstLine="0"/>
      </w:pPr>
      <w:r w:rsidRPr="00704402">
        <w:rPr>
          <w:bCs w:val="0"/>
          <w:color w:val="FF0000"/>
        </w:rPr>
        <w:pict>
          <v:shapetype id="_x0000_t32" coordsize="21600,21600" o:spt="32" o:oned="t" path="m,l21600,21600e" filled="f">
            <v:path arrowok="t" fillok="f" o:connecttype="none"/>
            <o:lock v:ext="edit" shapetype="t"/>
          </v:shapetype>
          <v:shape id="_x0000_s1173" type="#_x0000_t32" style="position:absolute;left:0;text-align:left;margin-left:200.6pt;margin-top:10.25pt;width:65.5pt;height:22.6pt;z-index:251682816" o:connectortype="straight">
            <v:stroke endarrow="block"/>
          </v:shape>
        </w:pict>
      </w:r>
      <w:r>
        <w:pict>
          <v:shape id="_x0000_s1172" type="#_x0000_t32" style="position:absolute;left:0;text-align:left;margin-left:128.6pt;margin-top:10.25pt;width:64pt;height:22.6pt;flip:x;z-index:251681792" o:connectortype="straight">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704402" w:rsidP="00892E33">
      <w:pPr>
        <w:widowControl w:val="0"/>
        <w:autoSpaceDE w:val="0"/>
        <w:autoSpaceDN w:val="0"/>
        <w:adjustRightInd w:val="0"/>
        <w:spacing w:line="220" w:lineRule="exact"/>
        <w:ind w:left="708" w:right="-99"/>
        <w:jc w:val="both"/>
        <w:rPr>
          <w:bCs/>
        </w:rPr>
      </w:pPr>
      <w:r w:rsidRPr="00704402">
        <w:rPr>
          <w:noProof/>
        </w:rPr>
        <w:pict>
          <v:rect id="_x0000_s1229" style="position:absolute;left:0;text-align:left;margin-left:3pt;margin-top:5.85pt;width:401.6pt;height:76.5pt;z-index:251723776"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6"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7" r:link="rId28"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0"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704402" w:rsidP="00D53D4F">
      <w:pPr>
        <w:pStyle w:val="2GrupMetin"/>
        <w:rPr>
          <w:color w:val="C00000"/>
        </w:rPr>
      </w:pPr>
      <w:r w:rsidRPr="00704402">
        <w:rPr>
          <w:lang w:eastAsia="tr-TR"/>
        </w:rPr>
        <w:lastRenderedPageBreak/>
        <w:pict>
          <v:group id="_x0000_s1067" style="position:absolute;left:0;text-align:left;margin-left:1.5pt;margin-top:-38.4pt;width:247.95pt;height:27pt;z-index:251638784" coordorigin="3299,4738" coordsize="4959,540">
            <v:roundrect id="_x0000_s1068" style="position:absolute;left:3299;top:4738;width:4959;height:540" arcsize=".5" strokecolor="silver" strokeweight="3pt"/>
            <v:shape id="_x0000_s1069" type="#_x0000_t202" style="position:absolute;left:3476;top:4805;width:4674;height:458" filled="f" fillcolor="yellow" stroked="f" strokecolor="#fc7317">
              <v:fill opacity="0"/>
              <v:textbox style="mso-next-textbox:#_x0000_s1069">
                <w:txbxContent>
                  <w:p w:rsidR="00DA5854" w:rsidRPr="001514AA" w:rsidRDefault="00DA5854"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704402" w:rsidP="00FB4FD6">
      <w:pPr>
        <w:pStyle w:val="Varsaylan"/>
      </w:pPr>
      <w:r w:rsidRPr="00704402">
        <w:rPr>
          <w:noProof/>
          <w:sz w:val="22"/>
        </w:rPr>
        <w:pict>
          <v:rect id="_x0000_s1205" style="position:absolute;left:0;text-align:left;margin-left:0;margin-top:4.85pt;width:411.35pt;height:127.5pt;z-index:251712512" filled="f" strokecolor="red" strokeweight="2.25pt"/>
        </w:pic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704402" w:rsidP="00B3347A">
      <w:pPr>
        <w:pStyle w:val="Uyarmetni"/>
      </w:pPr>
      <w:r>
        <w:rPr>
          <w:noProof/>
        </w:rPr>
        <w:lastRenderedPageBreak/>
        <w:pict>
          <v:group id="_x0000_s1070" style="position:absolute;left:0;text-align:left;margin-left:1.1pt;margin-top:-38.4pt;width:247.95pt;height:27pt;z-index:251639808" coordorigin="1475,4378" coordsize="4959,540">
            <v:roundrect id="_x0000_s1071" style="position:absolute;left:1475;top:4378;width:4959;height:540" arcsize=".5" strokecolor="silver" strokeweight="3pt"/>
            <v:shape id="_x0000_s1072" type="#_x0000_t202" style="position:absolute;left:1532;top:4460;width:4674;height:458" stroked="f" strokecolor="#365428">
              <v:fill opacity="0"/>
              <v:textbox style="mso-next-textbox:#_x0000_s1072">
                <w:txbxContent>
                  <w:p w:rsidR="00DA5854" w:rsidRPr="00AF4044" w:rsidRDefault="00DA5854" w:rsidP="00FB4FD6">
                    <w:pPr>
                      <w:rPr>
                        <w:b/>
                        <w:sz w:val="28"/>
                        <w:szCs w:val="28"/>
                      </w:rPr>
                    </w:pPr>
                    <w:r w:rsidRPr="00AF4044">
                      <w:rPr>
                        <w:b/>
                        <w:sz w:val="28"/>
                        <w:szCs w:val="28"/>
                      </w:rPr>
                      <w:t>ÖLÇME VE DEĞERLENDİRME</w:t>
                    </w:r>
                  </w:p>
                </w:txbxContent>
              </v:textbox>
            </v:shape>
          </v:group>
        </w:pic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704402" w:rsidP="00B3347A">
      <w:pPr>
        <w:pStyle w:val="Uyarmetni"/>
        <w:numPr>
          <w:ilvl w:val="0"/>
          <w:numId w:val="0"/>
        </w:numPr>
        <w:ind w:left="641" w:hanging="357"/>
      </w:pPr>
      <w:r w:rsidRPr="00704402">
        <w:rPr>
          <w:bCs/>
          <w:noProof/>
        </w:rPr>
        <w:pict>
          <v:rect id="_x0000_s1204" style="position:absolute;left:0;text-align:left;margin-left:1.1pt;margin-top:9.35pt;width:410.25pt;height:66pt;z-index:251711488"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704402" w:rsidP="00D16F42">
      <w:pPr>
        <w:pStyle w:val="dmetin"/>
        <w:rPr>
          <w:b/>
        </w:rPr>
      </w:pPr>
      <w:r w:rsidRPr="00704402">
        <w:rPr>
          <w:bCs w:val="0"/>
          <w:noProof/>
        </w:rPr>
        <w:pict>
          <v:rect id="_x0000_s1217" style="position:absolute;left:0;text-align:left;margin-left:1.1pt;margin-top:7.85pt;width:410.25pt;height:161.25pt;z-index:251718656"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704402" w:rsidP="00FB4FD6">
      <w:pPr>
        <w:pStyle w:val="SERMET"/>
      </w:pPr>
      <w:r w:rsidRPr="00704402">
        <w:rPr>
          <w:b/>
          <w:noProof/>
          <w:lang w:eastAsia="en-US"/>
        </w:rPr>
        <w:pict>
          <v:rect id="_x0000_s1206" style="position:absolute;left:0;text-align:left;margin-left:-.4pt;margin-top:6.25pt;width:410.25pt;height:93pt;z-index:251713536" filled="f" strokecolor="red" strokeweight="2.25pt"/>
        </w:pic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704402" w:rsidP="00982A16">
      <w:pPr>
        <w:pStyle w:val="Varsaylan"/>
      </w:pPr>
      <w:r w:rsidRPr="00704402">
        <w:rPr>
          <w:b/>
          <w:noProof/>
        </w:rPr>
        <w:pict>
          <v:rect id="_x0000_s1218" style="position:absolute;left:0;text-align:left;margin-left:-.4pt;margin-top:5.9pt;width:410.25pt;height:86.85pt;z-index:251719680" filled="f" strokecolor="red" strokeweight="2.25pt"/>
        </w:pic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“Ölçme Değerlendirme”</w:t>
      </w:r>
      <w:r w:rsidRPr="00892E33">
        <w:rPr>
          <w:b/>
          <w:color w:val="C00000"/>
        </w:rPr>
        <w:t xml:space="preserve">den sonra </w:t>
      </w:r>
      <w:r w:rsidR="00EF6435" w:rsidRPr="00892E33">
        <w:rPr>
          <w:b/>
          <w:color w:val="C00000"/>
        </w:rPr>
        <w:t xml:space="preserve">“Uygulamalı Test” </w:t>
      </w:r>
      <w:r w:rsidRPr="00892E33">
        <w:rPr>
          <w:b/>
          <w:color w:val="C00000"/>
        </w:rPr>
        <w:t>yoksa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Değerlendirme”den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704402" w:rsidP="0047729E">
      <w:pPr>
        <w:pStyle w:val="SERMET"/>
      </w:pPr>
      <w:r>
        <w:rPr>
          <w:noProof/>
        </w:rPr>
        <w:pict>
          <v:rect id="_x0000_s1230" style="position:absolute;left:0;text-align:left;margin-left:-1.65pt;margin-top:2.7pt;width:414.5pt;height:163.05pt;z-index:25172480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704402" w:rsidP="0047729E">
      <w:pPr>
        <w:pStyle w:val="SERMET"/>
        <w:rPr>
          <w:b/>
          <w:color w:val="FF0000"/>
          <w:u w:val="single"/>
        </w:rPr>
      </w:pPr>
      <w:r w:rsidRPr="00704402">
        <w:rPr>
          <w:noProof/>
        </w:rPr>
        <w:lastRenderedPageBreak/>
        <w:pict>
          <v:rect id="_x0000_s1231" style="position:absolute;left:0;text-align:left;margin-left:-.9pt;margin-top:2.1pt;width:414.5pt;height:325.5pt;z-index:251725824"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704402" w:rsidP="00146331">
      <w:pPr>
        <w:pStyle w:val="SERMET"/>
      </w:pPr>
      <w:r>
        <w:rPr>
          <w:noProof/>
        </w:rPr>
        <w:lastRenderedPageBreak/>
        <w:pict>
          <v:group id="_x0000_s1085" style="position:absolute;left:0;text-align:left;margin-left:6.65pt;margin-top:-51.15pt;width:396.85pt;height:49.6pt;z-index:251649024" coordorigin="1698,12359" coordsize="7937,992">
            <v:roundrect id="_x0000_s1086" style="position:absolute;left:1698;top:12359;width:7937;height:992" arcsize=".5" strokecolor="silver" strokeweight="3pt"/>
            <v:shape id="_x0000_s1087" type="#_x0000_t202" style="position:absolute;left:2387;top:12553;width:6917;height:761" filled="f" fillcolor="yellow" stroked="f" strokecolor="#008131">
              <v:fill opacity="0"/>
              <v:textbox style="mso-next-textbox:#_x0000_s1087">
                <w:txbxContent>
                  <w:p w:rsidR="00DA5854" w:rsidRPr="00884ED6" w:rsidRDefault="00DA5854"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704402" w:rsidP="00146331">
      <w:pPr>
        <w:pStyle w:val="Varsaylan"/>
      </w:pPr>
      <w:r>
        <w:rPr>
          <w:noProof/>
          <w:lang w:eastAsia="tr-TR"/>
        </w:rPr>
        <w:pict>
          <v:rect id="_x0000_s1232" style="position:absolute;left:0;text-align:left;margin-left:-.9pt;margin-top:.2pt;width:414.5pt;height:291.75pt;z-index:251726848"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t>öodül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704402" w:rsidP="00862D20">
      <w:pPr>
        <w:pStyle w:val="Varsaylan"/>
        <w:rPr>
          <w:sz w:val="16"/>
        </w:rPr>
      </w:pPr>
      <w:r w:rsidRPr="00704402">
        <w:rPr>
          <w:noProof/>
          <w:lang w:eastAsia="tr-TR"/>
        </w:rPr>
        <w:pict>
          <v:group id="_x0000_s1073" style="position:absolute;left:0;text-align:left;margin-left:6.45pt;margin-top:-63.45pt;width:396.85pt;height:49.6pt;z-index:251640832" coordorigin="1698,12359" coordsize="7937,992">
            <v:roundrect id="_x0000_s1074" style="position:absolute;left:1698;top:12359;width:7937;height:992" arcsize=".5" strokecolor="silver" strokeweight="3pt"/>
            <v:shape id="_x0000_s1075" type="#_x0000_t202" style="position:absolute;left:2387;top:12553;width:6917;height:761" filled="f" fillcolor="yellow" stroked="f" strokecolor="#008131">
              <v:fill opacity="0"/>
              <v:textbox style="mso-next-textbox:#_x0000_s1075">
                <w:txbxContent>
                  <w:p w:rsidR="00DA5854" w:rsidRPr="009516B4" w:rsidRDefault="00DA5854" w:rsidP="00862D20">
                    <w:pPr>
                      <w:jc w:val="center"/>
                      <w:rPr>
                        <w:b/>
                        <w:sz w:val="40"/>
                        <w:szCs w:val="40"/>
                      </w:rPr>
                    </w:pPr>
                    <w:r w:rsidRPr="009516B4">
                      <w:rPr>
                        <w:b/>
                        <w:sz w:val="40"/>
                        <w:szCs w:val="40"/>
                      </w:rPr>
                      <w:t>CEVAP ANAHTARLARI</w:t>
                    </w:r>
                  </w:p>
                </w:txbxContent>
              </v:textbox>
            </v:shape>
          </v:group>
        </w:pict>
      </w:r>
      <w:r w:rsidRPr="00704402">
        <w:rPr>
          <w:noProof/>
          <w:lang w:eastAsia="tr-TR"/>
        </w:rPr>
        <w:pict>
          <v:rect id="_x0000_s1214" style="position:absolute;left:0;text-align:left;margin-left:-.85pt;margin-top:7.3pt;width:410.25pt;height:95.25pt;z-index:251717632" filled="f" strokecolor="red" strokeweight="2.25pt"/>
        </w:pic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704402" w:rsidP="00DA5854">
      <w:pPr>
        <w:pStyle w:val="Varsaylan"/>
        <w:rPr>
          <w:color w:val="C00000"/>
          <w:highlight w:val="lightGray"/>
        </w:rPr>
      </w:pPr>
      <w:r w:rsidRPr="00704402">
        <w:rPr>
          <w:noProof/>
        </w:rPr>
        <w:lastRenderedPageBreak/>
        <w:pict>
          <v:group id="_x0000_s1076" style="position:absolute;left:0;text-align:left;margin-left:22.7pt;margin-top:-49.65pt;width:369pt;height:49.6pt;z-index:251641856" coordorigin="1743,888" coordsize="7372,992">
            <v:roundrect id="_x0000_s1077" style="position:absolute;left:1743;top:888;width:7372;height:992" arcsize=".5" strokecolor="silver" strokeweight="3pt"/>
            <v:shape id="_x0000_s1078" type="#_x0000_t202" style="position:absolute;left:1916;top:1068;width:6783;height:761" filled="f" fillcolor="yellow" stroked="f" strokecolor="#365428">
              <v:fill opacity="0"/>
              <v:textbox style="mso-next-textbox:#_x0000_s1078">
                <w:txbxContent>
                  <w:p w:rsidR="00DA5854" w:rsidRPr="00B71AC2" w:rsidRDefault="00DA5854"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704402" w:rsidP="00DA5854">
      <w:pPr>
        <w:widowControl w:val="0"/>
        <w:autoSpaceDE w:val="0"/>
        <w:autoSpaceDN w:val="0"/>
        <w:adjustRightInd w:val="0"/>
        <w:spacing w:line="220" w:lineRule="exact"/>
        <w:ind w:right="-99"/>
        <w:rPr>
          <w:b/>
          <w:bCs/>
        </w:rPr>
      </w:pPr>
      <w:r>
        <w:rPr>
          <w:b/>
          <w:bCs/>
          <w:noProof/>
        </w:rPr>
        <w:pict>
          <v:rect id="_x0000_s1209" style="position:absolute;margin-left:-2.65pt;margin-top:.25pt;width:417pt;height:116.25pt;z-index:251716608" filled="f" strokecolor="red" strokeweight="2.25pt"/>
        </w:pic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11" w:rsidRDefault="00193111">
      <w:r>
        <w:separator/>
      </w:r>
    </w:p>
  </w:endnote>
  <w:endnote w:type="continuationSeparator" w:id="0">
    <w:p w:rsidR="00193111" w:rsidRDefault="00193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pPr>
      <w:pStyle w:val="Altbilgi"/>
      <w:jc w:val="center"/>
    </w:pPr>
    <w:r>
      <w:fldChar w:fldCharType="begin"/>
    </w:r>
    <w:r w:rsidR="00DA5854">
      <w:instrText xml:space="preserve"> PAGE   \* MERGEFORMAT </w:instrText>
    </w:r>
    <w:r>
      <w:fldChar w:fldCharType="separate"/>
    </w:r>
    <w:r w:rsidR="00A84991">
      <w:t>I</w:t>
    </w:r>
    <w:r>
      <w:fldChar w:fldCharType="end"/>
    </w:r>
  </w:p>
  <w:p w:rsidR="00DA5854" w:rsidRDefault="00DA58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F" w:rsidRDefault="0024460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pPr>
      <w:pStyle w:val="Altbilgi"/>
      <w:jc w:val="center"/>
    </w:pPr>
    <w:r>
      <w:fldChar w:fldCharType="begin"/>
    </w:r>
    <w:r w:rsidR="00DA5854">
      <w:instrText xml:space="preserve"> PAGE   \* MERGEFORMAT </w:instrText>
    </w:r>
    <w:r>
      <w:fldChar w:fldCharType="separate"/>
    </w:r>
    <w:r w:rsidR="00A84991">
      <w:t>19</w:t>
    </w:r>
    <w:r>
      <w:fldChar w:fldCharType="end"/>
    </w:r>
  </w:p>
  <w:p w:rsidR="00DA5854" w:rsidRDefault="00DA585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DA58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11" w:rsidRDefault="00193111">
      <w:r>
        <w:separator/>
      </w:r>
    </w:p>
  </w:footnote>
  <w:footnote w:type="continuationSeparator" w:id="0">
    <w:p w:rsidR="00193111" w:rsidRDefault="00193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Pr="004C711C" w:rsidRDefault="00704402"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24460F">
    <w:pPr>
      <w:pStyle w:val="stbilgi"/>
    </w:pPr>
    <w:r>
      <w:ptab w:relativeTo="margin" w:alignment="center" w:leader="none"/>
    </w:r>
    <w:r>
      <w:ptab w:relativeTo="margin" w:alignment="right" w:leader="none"/>
    </w:r>
    <w:r>
      <w:t>EK-3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24460F" w:rsidRPr="004C711C" w:rsidRDefault="00704402"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044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4C711C" w:rsidRDefault="00704402" w:rsidP="00E954BD">
    <w:pPr>
      <w:pStyle w:val="stbilgi"/>
    </w:pPr>
    <w:r>
      <w:rPr>
        <w:noProof/>
      </w:rPr>
      <w:pict>
        <v:rect id="_x0000_s2051" style="position:absolute;margin-left:-71.25pt;margin-top:23.8pt;width:552.75pt;height:4.25pt;z-index:251657728"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8"/>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93111"/>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04402"/>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52A6D"/>
    <w:rsid w:val="00A5448A"/>
    <w:rsid w:val="00A555AA"/>
    <w:rsid w:val="00A637E1"/>
    <w:rsid w:val="00A73E80"/>
    <w:rsid w:val="00A818F1"/>
    <w:rsid w:val="00A8499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8194"/>
    <o:shapelayout v:ext="edit">
      <o:idmap v:ext="edit" data="1"/>
      <o:rules v:ext="edit">
        <o:r id="V:Rule1" type="callout" idref="#_x0000_s1146"/>
        <o:r id="V:Rule2" type="callout" idref="#_x0000_s1151"/>
        <o:r id="V:Rule3" type="callout" idref="#_x0000_s1148"/>
        <o:r id="V:Rule4" type="callout" idref="#_x0000_s1149"/>
        <o:r id="V:Rule5" type="callout" idref="#_x0000_s1150"/>
        <o:r id="V:Rule6" type="callout" idref="#_x0000_s1199"/>
        <o:r id="V:Rule9" type="connector" idref="#_x0000_s1173"/>
        <o:r id="V:Rule10"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KonuBal">
    <w:name w:val="MakaleBlm"/>
    <w:pPr>
      <w:numPr>
        <w:numId w:val="17"/>
      </w:numPr>
    </w:pPr>
  </w:style>
  <w:style w:type="numbering" w:customStyle="1" w:styleId="KonuBalChar">
    <w:name w:val="1ai"/>
    <w:pPr>
      <w:numPr>
        <w:numId w:val="6"/>
      </w:numPr>
    </w:pPr>
  </w:style>
  <w:style w:type="numbering" w:customStyle="1" w:styleId="AChar">
    <w:name w:val="111111"/>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togm.meb.gov.tr/program_index.asp?sayfa=cizelge_9_1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togm.meb.gov.tr/program_index.asp?sayfa=cizelge_9_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http://www.denizce.com/images/dbkz/cb17.jpg"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media/image2.jpeg"/><Relationship Id="rId30"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D09E9-5525-4435-ACD6-CCC9A285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5673</Words>
  <Characters>32337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37935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Mehmet YALÇIN</cp:lastModifiedBy>
  <cp:revision>2</cp:revision>
  <cp:lastPrinted>2014-11-05T14:56:00Z</cp:lastPrinted>
  <dcterms:created xsi:type="dcterms:W3CDTF">2015-07-31T11:26:00Z</dcterms:created>
  <dcterms:modified xsi:type="dcterms:W3CDTF">2015-07-31T11:26:00Z</dcterms:modified>
</cp:coreProperties>
</file>